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38"/>
        <w:gridCol w:w="638"/>
        <w:gridCol w:w="781"/>
        <w:gridCol w:w="4107"/>
        <w:gridCol w:w="2058"/>
      </w:tblGrid>
      <w:tr w:rsidR="007019B9" w:rsidRPr="007019B9" w:rsidTr="00804F61">
        <w:tc>
          <w:tcPr>
            <w:tcW w:w="9356" w:type="dxa"/>
            <w:gridSpan w:val="6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0"/>
                <w:sz w:val="24"/>
                <w:szCs w:val="20"/>
                <w:lang w:eastAsia="cs-CZ"/>
              </w:rPr>
            </w:pPr>
            <w:r w:rsidRPr="007019B9">
              <w:rPr>
                <w:rFonts w:ascii="Times New Roman" w:eastAsia="Times New Roman" w:hAnsi="Times New Roman" w:cs="Times New Roman"/>
                <w:b/>
                <w:spacing w:val="240"/>
                <w:sz w:val="144"/>
                <w:szCs w:val="20"/>
                <w:lang w:eastAsia="cs-CZ"/>
              </w:rPr>
              <w:t>SBÍRKA</w:t>
            </w: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804F61">
        <w:trPr>
          <w:cantSplit/>
          <w:trHeight w:hRule="exact" w:val="1077"/>
        </w:trPr>
        <w:tc>
          <w:tcPr>
            <w:tcW w:w="9356" w:type="dxa"/>
            <w:gridSpan w:val="6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7019B9">
              <w:rPr>
                <w:rFonts w:ascii="Arial" w:eastAsia="Times New Roman" w:hAnsi="Arial" w:cs="Times New Roman"/>
                <w:b/>
                <w:sz w:val="28"/>
                <w:szCs w:val="20"/>
                <w:lang w:eastAsia="cs-CZ"/>
              </w:rPr>
              <w:t>INTERNÍCH AKTŮ ŘÍZENÍ</w:t>
            </w:r>
          </w:p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7019B9">
              <w:rPr>
                <w:rFonts w:ascii="Arial" w:eastAsia="Times New Roman" w:hAnsi="Arial" w:cs="Times New Roman"/>
                <w:b/>
                <w:sz w:val="28"/>
                <w:szCs w:val="20"/>
                <w:lang w:eastAsia="cs-CZ"/>
              </w:rPr>
              <w:t>GENERÁLNÍHO ŘEDITELE</w:t>
            </w:r>
          </w:p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7019B9">
              <w:rPr>
                <w:rFonts w:ascii="Arial" w:eastAsia="Times New Roman" w:hAnsi="Arial" w:cs="Times New Roman"/>
                <w:b/>
                <w:sz w:val="28"/>
                <w:szCs w:val="20"/>
                <w:lang w:eastAsia="cs-CZ"/>
              </w:rPr>
              <w:t>HASIČSKÉHO ZÁCHRANNÉHO SBORU ČESKÉ REPUBLIKY</w:t>
            </w: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</w:tcPr>
          <w:p w:rsidR="007019B9" w:rsidRPr="007019B9" w:rsidRDefault="007019B9" w:rsidP="007019B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  <w:lang w:eastAsia="cs-CZ"/>
              </w:rPr>
            </w:pP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1772" w:type="dxa"/>
            <w:gridSpan w:val="2"/>
          </w:tcPr>
          <w:p w:rsidR="007019B9" w:rsidRPr="007019B9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7019B9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Ročník:  20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19</w:t>
            </w:r>
          </w:p>
        </w:tc>
        <w:tc>
          <w:tcPr>
            <w:tcW w:w="5526" w:type="dxa"/>
            <w:gridSpan w:val="3"/>
          </w:tcPr>
          <w:p w:rsidR="007019B9" w:rsidRPr="007B0E03" w:rsidRDefault="007019B9" w:rsidP="00EA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7B0E03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 xml:space="preserve">V Praze dne </w:t>
            </w:r>
            <w:r w:rsidR="00EA7BE5" w:rsidRPr="007B0E03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13</w:t>
            </w:r>
            <w:r w:rsidR="00C2159E" w:rsidRPr="007B0E03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. prosince</w:t>
            </w:r>
            <w:r w:rsidRPr="007B0E03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 xml:space="preserve"> 2019</w:t>
            </w:r>
          </w:p>
        </w:tc>
        <w:tc>
          <w:tcPr>
            <w:tcW w:w="2058" w:type="dxa"/>
          </w:tcPr>
          <w:p w:rsidR="007019B9" w:rsidRPr="007019B9" w:rsidRDefault="007019B9" w:rsidP="00EA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7019B9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Částka</w:t>
            </w:r>
            <w:r w:rsidRPr="007B0E03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: </w:t>
            </w:r>
            <w:r w:rsidR="00EA7BE5" w:rsidRPr="007B0E03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60</w:t>
            </w: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  <w:tcBorders>
              <w:bottom w:val="single" w:sz="18" w:space="0" w:color="auto"/>
            </w:tcBorders>
          </w:tcPr>
          <w:p w:rsidR="007019B9" w:rsidRPr="007B0E03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  <w:tcBorders>
              <w:top w:val="single" w:sz="18" w:space="0" w:color="auto"/>
            </w:tcBorders>
          </w:tcPr>
          <w:p w:rsidR="007019B9" w:rsidRPr="007B0E03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</w:tcPr>
          <w:p w:rsidR="007019B9" w:rsidRPr="007B0E03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</w:tcPr>
          <w:p w:rsidR="007019B9" w:rsidRPr="007B0E03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</w:tcPr>
          <w:p w:rsidR="007019B9" w:rsidRPr="007B0E03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</w:tcPr>
          <w:p w:rsidR="007019B9" w:rsidRPr="007B0E03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</w:tcPr>
          <w:p w:rsidR="007019B9" w:rsidRPr="007B0E03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7B0E03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O B S A H :</w:t>
            </w: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</w:tcPr>
          <w:p w:rsidR="007019B9" w:rsidRPr="007B0E03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804F61">
        <w:trPr>
          <w:cantSplit/>
          <w:trHeight w:hRule="exact" w:val="284"/>
        </w:trPr>
        <w:tc>
          <w:tcPr>
            <w:tcW w:w="9356" w:type="dxa"/>
            <w:gridSpan w:val="6"/>
          </w:tcPr>
          <w:p w:rsidR="007019B9" w:rsidRPr="007B0E03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7B0E03">
        <w:tblPrEx>
          <w:tblCellMar>
            <w:left w:w="71" w:type="dxa"/>
            <w:right w:w="71" w:type="dxa"/>
          </w:tblCellMar>
        </w:tblPrEx>
        <w:tc>
          <w:tcPr>
            <w:tcW w:w="1134" w:type="dxa"/>
          </w:tcPr>
          <w:p w:rsidR="007019B9" w:rsidRPr="007019B9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</w:tcPr>
          <w:p w:rsidR="007019B9" w:rsidRPr="007B0E03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7B0E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Část I.</w:t>
            </w:r>
          </w:p>
        </w:tc>
        <w:tc>
          <w:tcPr>
            <w:tcW w:w="781" w:type="dxa"/>
          </w:tcPr>
          <w:p w:rsidR="007019B9" w:rsidRPr="007B0E03" w:rsidRDefault="00EA7BE5" w:rsidP="0070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7B0E0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60</w:t>
            </w:r>
            <w:r w:rsidR="007019B9" w:rsidRPr="007B0E0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6165" w:type="dxa"/>
            <w:gridSpan w:val="2"/>
          </w:tcPr>
          <w:p w:rsidR="007019B9" w:rsidRPr="007B0E03" w:rsidRDefault="007019B9" w:rsidP="00EA7BE5">
            <w:pPr>
              <w:widowControl w:val="0"/>
              <w:tabs>
                <w:tab w:val="left" w:pos="4388"/>
                <w:tab w:val="decimal" w:pos="616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cs-CZ"/>
              </w:rPr>
            </w:pPr>
            <w:r w:rsidRPr="007B0E0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Pokyn generálního ředitele Hasičského záchranného sboru ČR ze dne </w:t>
            </w:r>
            <w:r w:rsidR="00EA7BE5" w:rsidRPr="007B0E0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13</w:t>
            </w:r>
            <w:r w:rsidR="00C2159E" w:rsidRPr="007B0E0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.12</w:t>
            </w:r>
            <w:r w:rsidRPr="007B0E0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.2019, kterým se </w:t>
            </w:r>
            <w:r w:rsidRPr="007B0E0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cs-CZ"/>
              </w:rPr>
              <w:t xml:space="preserve">vydává Cvičební řád jednotek požární ochrany </w:t>
            </w:r>
            <w:r w:rsidRPr="007B0E0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</w:t>
            </w:r>
          </w:p>
        </w:tc>
      </w:tr>
      <w:tr w:rsidR="007019B9" w:rsidRPr="007019B9" w:rsidTr="007B0E03">
        <w:tblPrEx>
          <w:tblCellMar>
            <w:left w:w="71" w:type="dxa"/>
            <w:right w:w="71" w:type="dxa"/>
          </w:tblCellMar>
        </w:tblPrEx>
        <w:trPr>
          <w:cantSplit/>
          <w:trHeight w:hRule="exact" w:val="284"/>
        </w:trPr>
        <w:tc>
          <w:tcPr>
            <w:tcW w:w="1134" w:type="dxa"/>
          </w:tcPr>
          <w:p w:rsidR="007019B9" w:rsidRPr="007019B9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8222" w:type="dxa"/>
            <w:gridSpan w:val="5"/>
          </w:tcPr>
          <w:p w:rsidR="007019B9" w:rsidRPr="007019B9" w:rsidRDefault="007019B9" w:rsidP="007019B9">
            <w:pPr>
              <w:widowControl w:val="0"/>
              <w:tabs>
                <w:tab w:val="left" w:pos="4388"/>
                <w:tab w:val="decimal" w:pos="6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7B0E03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134" w:type="dxa"/>
          </w:tcPr>
          <w:p w:rsidR="007019B9" w:rsidRPr="007019B9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</w:tcPr>
          <w:p w:rsidR="007019B9" w:rsidRPr="007019B9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cs-CZ"/>
              </w:rPr>
            </w:pPr>
            <w:r w:rsidRPr="007019B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cs-CZ"/>
              </w:rPr>
              <w:t>Část II.</w:t>
            </w:r>
          </w:p>
        </w:tc>
        <w:tc>
          <w:tcPr>
            <w:tcW w:w="781" w:type="dxa"/>
          </w:tcPr>
          <w:p w:rsidR="007019B9" w:rsidRPr="007019B9" w:rsidRDefault="007019B9" w:rsidP="0070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65" w:type="dxa"/>
            <w:gridSpan w:val="2"/>
          </w:tcPr>
          <w:p w:rsidR="007019B9" w:rsidRPr="007019B9" w:rsidRDefault="007019B9" w:rsidP="007019B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C2159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0"/>
                <w:lang w:eastAsia="cs-CZ"/>
              </w:rPr>
              <w:t>Oznámení náměstka generálního ředitele Hasičského záchranného</w:t>
            </w:r>
            <w:r w:rsidRPr="007019B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 xml:space="preserve"> sboru České republiky pro IZS a operační řízení</w:t>
            </w:r>
          </w:p>
        </w:tc>
      </w:tr>
      <w:tr w:rsidR="007019B9" w:rsidRPr="007019B9" w:rsidTr="00C2159E">
        <w:tblPrEx>
          <w:tblCellMar>
            <w:left w:w="71" w:type="dxa"/>
            <w:right w:w="71" w:type="dxa"/>
          </w:tblCellMar>
        </w:tblPrEx>
        <w:tc>
          <w:tcPr>
            <w:tcW w:w="2410" w:type="dxa"/>
            <w:gridSpan w:val="3"/>
          </w:tcPr>
          <w:p w:rsidR="007019B9" w:rsidRPr="007019B9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</w:p>
        </w:tc>
        <w:tc>
          <w:tcPr>
            <w:tcW w:w="781" w:type="dxa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165" w:type="dxa"/>
            <w:gridSpan w:val="2"/>
          </w:tcPr>
          <w:p w:rsidR="007019B9" w:rsidRPr="007019B9" w:rsidRDefault="007019B9" w:rsidP="007019B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C2159E">
        <w:tblPrEx>
          <w:tblCellMar>
            <w:left w:w="71" w:type="dxa"/>
            <w:right w:w="71" w:type="dxa"/>
          </w:tblCellMar>
        </w:tblPrEx>
        <w:tc>
          <w:tcPr>
            <w:tcW w:w="2410" w:type="dxa"/>
            <w:gridSpan w:val="3"/>
          </w:tcPr>
          <w:p w:rsidR="007019B9" w:rsidRPr="007019B9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781" w:type="dxa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165" w:type="dxa"/>
            <w:gridSpan w:val="2"/>
          </w:tcPr>
          <w:p w:rsidR="007019B9" w:rsidRPr="007019B9" w:rsidRDefault="007019B9" w:rsidP="007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C2159E">
        <w:tblPrEx>
          <w:tblCellMar>
            <w:left w:w="71" w:type="dxa"/>
            <w:right w:w="71" w:type="dxa"/>
          </w:tblCellMar>
        </w:tblPrEx>
        <w:tc>
          <w:tcPr>
            <w:tcW w:w="2410" w:type="dxa"/>
            <w:gridSpan w:val="3"/>
          </w:tcPr>
          <w:p w:rsidR="007019B9" w:rsidRPr="007019B9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781" w:type="dxa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165" w:type="dxa"/>
            <w:gridSpan w:val="2"/>
          </w:tcPr>
          <w:p w:rsidR="007019B9" w:rsidRPr="007019B9" w:rsidRDefault="007019B9" w:rsidP="007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C2159E">
        <w:tblPrEx>
          <w:tblCellMar>
            <w:left w:w="71" w:type="dxa"/>
            <w:right w:w="71" w:type="dxa"/>
          </w:tblCellMar>
        </w:tblPrEx>
        <w:tc>
          <w:tcPr>
            <w:tcW w:w="2410" w:type="dxa"/>
            <w:gridSpan w:val="3"/>
          </w:tcPr>
          <w:p w:rsidR="007019B9" w:rsidRPr="007019B9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781" w:type="dxa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165" w:type="dxa"/>
            <w:gridSpan w:val="2"/>
          </w:tcPr>
          <w:p w:rsidR="007019B9" w:rsidRPr="007019B9" w:rsidRDefault="007019B9" w:rsidP="007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C2159E">
        <w:tblPrEx>
          <w:tblCellMar>
            <w:left w:w="71" w:type="dxa"/>
            <w:right w:w="71" w:type="dxa"/>
          </w:tblCellMar>
        </w:tblPrEx>
        <w:tc>
          <w:tcPr>
            <w:tcW w:w="2410" w:type="dxa"/>
            <w:gridSpan w:val="3"/>
          </w:tcPr>
          <w:p w:rsidR="007019B9" w:rsidRPr="007019B9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781" w:type="dxa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165" w:type="dxa"/>
            <w:gridSpan w:val="2"/>
          </w:tcPr>
          <w:p w:rsidR="007019B9" w:rsidRPr="007019B9" w:rsidRDefault="007019B9" w:rsidP="007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7019B9" w:rsidRPr="007019B9" w:rsidTr="00C2159E">
        <w:tblPrEx>
          <w:tblCellMar>
            <w:left w:w="71" w:type="dxa"/>
            <w:right w:w="71" w:type="dxa"/>
          </w:tblCellMar>
        </w:tblPrEx>
        <w:tc>
          <w:tcPr>
            <w:tcW w:w="2410" w:type="dxa"/>
            <w:gridSpan w:val="3"/>
          </w:tcPr>
          <w:p w:rsidR="007019B9" w:rsidRPr="007019B9" w:rsidRDefault="007019B9" w:rsidP="007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781" w:type="dxa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165" w:type="dxa"/>
            <w:gridSpan w:val="2"/>
          </w:tcPr>
          <w:p w:rsidR="007019B9" w:rsidRPr="007019B9" w:rsidRDefault="007019B9" w:rsidP="007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:rsidR="007019B9" w:rsidRPr="007019B9" w:rsidRDefault="007019B9" w:rsidP="00701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cs-CZ"/>
        </w:rPr>
      </w:pPr>
    </w:p>
    <w:p w:rsidR="007019B9" w:rsidRPr="007019B9" w:rsidRDefault="007019B9" w:rsidP="007019B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7019B9" w:rsidRPr="007019B9">
          <w:footerReference w:type="even" r:id="rId8"/>
          <w:footerReference w:type="default" r:id="rId9"/>
          <w:pgSz w:w="11905" w:h="16837"/>
          <w:pgMar w:top="851" w:right="1418" w:bottom="1134" w:left="1418" w:header="709" w:footer="0" w:gutter="0"/>
          <w:cols w:space="708"/>
        </w:sectPr>
      </w:pPr>
    </w:p>
    <w:p w:rsidR="007019B9" w:rsidRPr="007B0E03" w:rsidRDefault="00EA7BE5" w:rsidP="0070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60</w:t>
      </w:r>
    </w:p>
    <w:p w:rsidR="007019B9" w:rsidRPr="007B0E03" w:rsidRDefault="007019B9" w:rsidP="0070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 O K Y N</w:t>
      </w:r>
    </w:p>
    <w:p w:rsidR="007019B9" w:rsidRPr="007B0E03" w:rsidRDefault="007019B9" w:rsidP="0070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generálního ředitele Hasičského záchranného sboru České republiky</w:t>
      </w:r>
    </w:p>
    <w:p w:rsidR="007019B9" w:rsidRPr="007B0E03" w:rsidRDefault="007019B9" w:rsidP="00701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ze dne </w:t>
      </w:r>
      <w:r w:rsidR="00EA7BE5" w:rsidRPr="007B0E03">
        <w:rPr>
          <w:rFonts w:ascii="Times New Roman" w:eastAsia="Times New Roman" w:hAnsi="Times New Roman" w:cs="Times New Roman"/>
          <w:sz w:val="24"/>
          <w:szCs w:val="20"/>
          <w:lang w:eastAsia="cs-CZ"/>
        </w:rPr>
        <w:t>13</w:t>
      </w:r>
      <w:r w:rsidR="00C2159E" w:rsidRPr="007B0E03">
        <w:rPr>
          <w:rFonts w:ascii="Times New Roman" w:eastAsia="Times New Roman" w:hAnsi="Times New Roman" w:cs="Times New Roman"/>
          <w:sz w:val="24"/>
          <w:szCs w:val="20"/>
          <w:lang w:eastAsia="cs-CZ"/>
        </w:rPr>
        <w:t>. prosince</w:t>
      </w:r>
      <w:r w:rsidRPr="007B0E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2019,</w:t>
      </w:r>
    </w:p>
    <w:p w:rsidR="007019B9" w:rsidRPr="007019B9" w:rsidRDefault="007019B9" w:rsidP="007019B9">
      <w:pPr>
        <w:widowControl w:val="0"/>
        <w:tabs>
          <w:tab w:val="left" w:pos="4388"/>
          <w:tab w:val="decimal" w:pos="61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kterým se </w:t>
      </w:r>
      <w:r w:rsidRPr="007B0E03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 xml:space="preserve">vydává </w:t>
      </w:r>
      <w:r w:rsidR="00C2159E" w:rsidRPr="007B0E03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Cvičební</w:t>
      </w:r>
      <w:r w:rsidRPr="007B0E03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 xml:space="preserve"> řád </w:t>
      </w:r>
      <w:r w:rsidRPr="007019B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jednotek požární ochrany</w:t>
      </w:r>
    </w:p>
    <w:p w:rsidR="007019B9" w:rsidRPr="00C2159E" w:rsidRDefault="007019B9" w:rsidP="00C21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019B9" w:rsidRPr="007019B9" w:rsidRDefault="00C2159E" w:rsidP="00C2159E">
      <w:pPr>
        <w:widowControl w:val="0"/>
        <w:tabs>
          <w:tab w:val="left" w:pos="0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</w:t>
      </w:r>
      <w:r w:rsidR="002124C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 souladu s § 24</w:t>
      </w:r>
      <w:r w:rsidR="00EA7BE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odst. 1 písm. j)</w:t>
      </w:r>
      <w:r w:rsidR="007019B9"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zákona č. 133/1985 Sb., o požární </w:t>
      </w:r>
      <w:r w:rsidR="007019B9" w:rsidRPr="007019B9">
        <w:rPr>
          <w:rFonts w:ascii="Times New Roman" w:eastAsia="Times New Roman" w:hAnsi="Times New Roman" w:cs="Times New Roman"/>
          <w:b/>
          <w:snapToGrid w:val="0"/>
          <w:sz w:val="12"/>
          <w:szCs w:val="20"/>
          <w:lang w:eastAsia="cs-CZ"/>
        </w:rPr>
        <w:t xml:space="preserve"> </w:t>
      </w:r>
      <w:r w:rsidR="007019B9"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ochraně, ve znění pozdějších předpisů, vyhláškou č. 247/2001 Sb., o organizaci a činnosti jednotek požární ochrany, ve znění pozdějších předpisů </w:t>
      </w:r>
      <w:r w:rsidR="009D1AED" w:rsidRPr="009D1AE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a k zabezpečení jednotného postupu při výkonu služby při provádění pořadového výcviku</w:t>
      </w:r>
      <w:r w:rsidR="002124C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a při</w:t>
      </w:r>
      <w:r w:rsidR="009D1AE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9D1AED" w:rsidRPr="009D1AE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provádění bojových rozvinutí družstev při výcviku </w:t>
      </w:r>
      <w:r w:rsidR="00EA7BE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</w:r>
      <w:r w:rsidR="009D1AED" w:rsidRPr="009D1AE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a zásahu</w:t>
      </w:r>
      <w:r w:rsidR="009D52F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7019B9"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se </w:t>
      </w:r>
      <w:r w:rsidR="007019B9" w:rsidRPr="007019B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stanoví</w:t>
      </w:r>
      <w:r w:rsidR="007019B9"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:</w:t>
      </w:r>
    </w:p>
    <w:p w:rsidR="007019B9" w:rsidRPr="007019B9" w:rsidRDefault="007019B9" w:rsidP="007019B9">
      <w:pPr>
        <w:widowControl w:val="0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Čl. 1</w:t>
      </w:r>
    </w:p>
    <w:p w:rsidR="007019B9" w:rsidRPr="007019B9" w:rsidRDefault="00F53AE5" w:rsidP="007019B9">
      <w:pPr>
        <w:widowControl w:val="0"/>
        <w:tabs>
          <w:tab w:val="left" w:pos="0"/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Cvičební řád</w:t>
      </w:r>
      <w:r w:rsidR="007019B9" w:rsidRPr="007019B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 xml:space="preserve"> jednotek požární ochrany</w:t>
      </w:r>
    </w:p>
    <w:p w:rsidR="007019B9" w:rsidRPr="007B0E03" w:rsidRDefault="007019B9" w:rsidP="001F394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Jednotky požární ochrany (dále jen „jednotky PO“) se při odborné přípravě a zásahu řídí taktickými postupy stanovenými Ministerstvem vnitra-generálním ředitelstvím Hasičského záchranného sboru České republiky (dále jen „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generální ředitelství“), které </w:t>
      </w:r>
      <w:r w:rsidR="009546F7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jsou obsaženy ve Cvičebním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řádu jednotek PO.</w:t>
      </w:r>
    </w:p>
    <w:p w:rsidR="007019B9" w:rsidRPr="007B0E03" w:rsidRDefault="007019B9" w:rsidP="001F394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Vzdělávací zařízení Hasičského záchranného sboru České republiky a Střední odborná škola požární ochrany a Vyšší odborná škola požární ochrany se při výuce a výcviku příslušníků, zaměstnanců a členů jednotek PO říd</w:t>
      </w:r>
      <w:r w:rsidR="009546F7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í Cvičebním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řádem jednotek PO.</w:t>
      </w:r>
    </w:p>
    <w:p w:rsidR="007019B9" w:rsidRPr="007B0E03" w:rsidRDefault="002124C5" w:rsidP="001F394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Cvičební</w:t>
      </w:r>
      <w:r w:rsidR="007019B9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řád jednotek PO se člení podle obsahu do kapitol a metodických lis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tů. Kapitoly se označují zkratkami</w:t>
      </w:r>
      <w:r w:rsidR="007019B9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:</w:t>
      </w:r>
    </w:p>
    <w:p w:rsidR="00A214EB" w:rsidRPr="007B0E03" w:rsidRDefault="007019B9" w:rsidP="007019B9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kapitola</w:t>
      </w:r>
      <w:r w:rsidR="00A214EB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PŘV</w:t>
      </w:r>
      <w:r w:rsidR="0012693C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– pořadový výcvik</w:t>
      </w:r>
      <w:r w:rsidR="00A214EB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,</w:t>
      </w:r>
    </w:p>
    <w:p w:rsidR="007019B9" w:rsidRPr="007B0E03" w:rsidRDefault="00A214EB" w:rsidP="007019B9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kapitola OBEC</w:t>
      </w:r>
      <w:r w:rsidR="00201A28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–</w:t>
      </w:r>
      <w:r w:rsidR="00FC3A83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činnost</w:t>
      </w:r>
      <w:r w:rsidR="00F03027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jednotky PO</w:t>
      </w:r>
      <w:r w:rsidR="00FC3A83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- obecné zásady</w:t>
      </w:r>
      <w:r w:rsidR="007019B9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,</w:t>
      </w:r>
    </w:p>
    <w:p w:rsidR="007019B9" w:rsidRPr="007B0E03" w:rsidRDefault="007019B9" w:rsidP="007019B9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kapitola </w:t>
      </w:r>
      <w:r w:rsidR="001F394A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DR3</w:t>
      </w:r>
      <w:r w:rsidR="00201A28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– činnost </w:t>
      </w:r>
      <w:r w:rsidR="00FC3A83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družstva 1</w:t>
      </w:r>
      <w:r w:rsidR="00201A28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+3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,</w:t>
      </w:r>
      <w:r w:rsidR="00A214EB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</w:p>
    <w:p w:rsidR="007019B9" w:rsidRPr="007B0E03" w:rsidRDefault="007019B9" w:rsidP="007019B9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kapitola</w:t>
      </w:r>
      <w:r w:rsidR="00A214EB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DR5</w:t>
      </w:r>
      <w:r w:rsidR="00201A28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– </w:t>
      </w:r>
      <w:r w:rsidR="00FC3A83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činnost družstva 1</w:t>
      </w:r>
      <w:r w:rsidR="00201A28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+5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,</w:t>
      </w:r>
    </w:p>
    <w:p w:rsidR="007019B9" w:rsidRPr="007B0E03" w:rsidRDefault="007019B9" w:rsidP="007019B9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kapitola</w:t>
      </w:r>
      <w:r w:rsidR="00A214EB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ČETA</w:t>
      </w:r>
      <w:r w:rsidR="00201A28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– činnost čety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,</w:t>
      </w:r>
    </w:p>
    <w:p w:rsidR="007019B9" w:rsidRPr="007B0E03" w:rsidRDefault="007019B9" w:rsidP="007019B9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kapitola</w:t>
      </w:r>
      <w:r w:rsidR="00DE0572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VÝŠ</w:t>
      </w:r>
      <w:r w:rsidR="00201A28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A734DF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–</w:t>
      </w:r>
      <w:r w:rsidR="00201A28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práce ve výšce a nad volnou hloubkou</w:t>
      </w:r>
      <w:r w:rsidR="00FC3A83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- obecná část</w:t>
      </w:r>
      <w:r w:rsidR="00DE0572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,</w:t>
      </w:r>
    </w:p>
    <w:p w:rsidR="007019B9" w:rsidRPr="007B0E03" w:rsidRDefault="007019B9" w:rsidP="007019B9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kapitola </w:t>
      </w:r>
      <w:r w:rsidR="00DE0572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VÝŠ</w:t>
      </w:r>
      <w:r w:rsidR="001F394A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-Z</w:t>
      </w:r>
      <w:r w:rsidR="00F03027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– </w:t>
      </w:r>
      <w:r w:rsidR="00C32344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práce ve výšce a nad volnou hloubkou - základní činnost,</w:t>
      </w:r>
    </w:p>
    <w:p w:rsidR="007019B9" w:rsidRPr="007B0E03" w:rsidRDefault="007019B9" w:rsidP="001F394A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kapitola</w:t>
      </w:r>
      <w:r w:rsidR="00DE0572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VÝŠ</w:t>
      </w:r>
      <w:r w:rsidR="001F394A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-R</w:t>
      </w:r>
      <w:r w:rsidR="00F03027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– </w:t>
      </w:r>
      <w:r w:rsidR="00C32344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práce ve výšce a nad volnou hloubkou - rozšířená činnost</w:t>
      </w:r>
      <w:r w:rsidR="009546F7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</w:t>
      </w:r>
    </w:p>
    <w:p w:rsidR="007019B9" w:rsidRPr="007B0E03" w:rsidRDefault="007019B9" w:rsidP="001F394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Jednotlivé metodické listy se označují čísly (např</w:t>
      </w:r>
      <w:r w:rsidR="00440AC4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 metodický list č. 1 kapitoly DR5).</w:t>
      </w:r>
    </w:p>
    <w:p w:rsidR="007019B9" w:rsidRPr="007B0E03" w:rsidRDefault="007019B9" w:rsidP="001F394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Metodické listy schvaluje generální ředitel HZS ČR. Vydání metodických listů a jejich změny oznamuje generální ředitelství ve Sbírce interních aktů řízení generálního ředitele HZS ČR. Schválené metodické listy se uveřejňují v plném znění na Internetu HZS ČR.</w:t>
      </w:r>
    </w:p>
    <w:p w:rsidR="00EE5AE5" w:rsidRPr="007B0E03" w:rsidRDefault="007019B9" w:rsidP="001F394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Ředitel hasičského záchranného sboru kraje o vydání metodických listů a jejich změnách informuje velitele jednotek PO v okruhu své územní působnosti.</w:t>
      </w:r>
    </w:p>
    <w:p w:rsidR="00EE5AE5" w:rsidRPr="007B0E03" w:rsidRDefault="00EE5AE5" w:rsidP="007019B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B9" w:rsidRPr="007B0E03" w:rsidRDefault="007019B9" w:rsidP="007019B9">
      <w:pPr>
        <w:widowControl w:val="0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Čl. 2</w:t>
      </w:r>
    </w:p>
    <w:p w:rsidR="007019B9" w:rsidRPr="007B0E03" w:rsidRDefault="007019B9" w:rsidP="007019B9">
      <w:pPr>
        <w:widowControl w:val="0"/>
        <w:tabs>
          <w:tab w:val="left" w:pos="0"/>
          <w:tab w:val="left" w:pos="42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Zrušovací ustanovení</w:t>
      </w:r>
    </w:p>
    <w:p w:rsidR="007019B9" w:rsidRPr="007B0E03" w:rsidRDefault="007019B9" w:rsidP="007019B9">
      <w:pPr>
        <w:widowControl w:val="0"/>
        <w:tabs>
          <w:tab w:val="left" w:pos="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Zrušuje se:</w:t>
      </w:r>
    </w:p>
    <w:p w:rsidR="00EE5AE5" w:rsidRPr="007B0E03" w:rsidRDefault="00EE5AE5" w:rsidP="007019B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Pokyn generálního ředit</w:t>
      </w:r>
      <w:r w:rsidR="00F10D1B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ele HZS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ČR</w:t>
      </w:r>
      <w:r w:rsidR="00F10D1B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č. 42/2007, 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kterým se vydává Cvičební řád jednotek požární ochrany - pořadový výcvik,</w:t>
      </w:r>
    </w:p>
    <w:p w:rsidR="00EE5AE5" w:rsidRPr="007B0E03" w:rsidRDefault="00EE5AE5" w:rsidP="007019B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Pokyn generálního</w:t>
      </w:r>
      <w:r w:rsidR="00B200EE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ředitele HZS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ČR</w:t>
      </w:r>
      <w:r w:rsidR="00B200EE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č. 43/2007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, kterým se vydává Cvičební řád jednotek požární ochrany - technický výcvik,</w:t>
      </w:r>
    </w:p>
    <w:p w:rsidR="00B200EE" w:rsidRPr="007B0E03" w:rsidRDefault="00B200EE" w:rsidP="007019B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Pokyn generálního ředitele HZS ČR č.  56/2012, kterým se mění Pokyn generálního ředitele HZS ČR</w:t>
      </w:r>
      <w:r w:rsidR="00350E6F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č. 43/2007, kterým se vydává Cvičební řád jednotek požární ochrany - technický výcvik</w:t>
      </w:r>
      <w:r w:rsidR="009D52FA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</w:t>
      </w:r>
    </w:p>
    <w:p w:rsidR="007019B9" w:rsidRPr="007019B9" w:rsidRDefault="007019B9" w:rsidP="007019B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B9" w:rsidRPr="007019B9" w:rsidRDefault="007019B9" w:rsidP="007019B9">
      <w:pPr>
        <w:widowControl w:val="0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Čl. 3</w:t>
      </w:r>
    </w:p>
    <w:p w:rsidR="007019B9" w:rsidRPr="007019B9" w:rsidRDefault="007019B9" w:rsidP="007019B9">
      <w:pPr>
        <w:widowControl w:val="0"/>
        <w:tabs>
          <w:tab w:val="left" w:pos="0"/>
          <w:tab w:val="left" w:pos="42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7019B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Účinnost</w:t>
      </w:r>
    </w:p>
    <w:p w:rsidR="007019B9" w:rsidRPr="007B0E03" w:rsidRDefault="007019B9" w:rsidP="007019B9">
      <w:pPr>
        <w:widowControl w:val="0"/>
        <w:tabs>
          <w:tab w:val="left" w:pos="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Tento pokyn nab</w:t>
      </w:r>
      <w:r w:rsidR="00B200EE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ývá účinnosti </w:t>
      </w:r>
      <w:r w:rsidR="00B200EE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dnem </w:t>
      </w:r>
      <w:r w:rsidR="003D39DA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1. ledna 2020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</w:t>
      </w:r>
    </w:p>
    <w:p w:rsidR="007019B9" w:rsidRPr="007019B9" w:rsidRDefault="007019B9" w:rsidP="007019B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B9" w:rsidRPr="007B0E03" w:rsidRDefault="007019B9" w:rsidP="007019B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Čj</w:t>
      </w:r>
      <w:r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. </w:t>
      </w:r>
      <w:r w:rsidR="00350E6F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MV-</w:t>
      </w:r>
      <w:r w:rsidR="007B0E03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176280</w:t>
      </w:r>
      <w:r w:rsidR="00350E6F" w:rsidRPr="007B0E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-1/PO-IZS-2019</w:t>
      </w:r>
    </w:p>
    <w:p w:rsidR="007019B9" w:rsidRPr="007019B9" w:rsidRDefault="001F394A" w:rsidP="007019B9">
      <w:pPr>
        <w:widowControl w:val="0"/>
        <w:tabs>
          <w:tab w:val="left" w:pos="0"/>
          <w:tab w:val="left" w:pos="426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</w:tblGrid>
      <w:tr w:rsidR="007019B9" w:rsidRPr="007019B9" w:rsidTr="001F394A">
        <w:trPr>
          <w:trHeight w:val="716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9B9" w:rsidRPr="007019B9" w:rsidRDefault="007019B9" w:rsidP="007019B9">
            <w:pPr>
              <w:widowControl w:val="0"/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cs-CZ"/>
              </w:rPr>
            </w:pPr>
            <w:r w:rsidRPr="007019B9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cs-CZ"/>
              </w:rPr>
              <w:t>Generální ředitel HZS ČR</w:t>
            </w:r>
          </w:p>
          <w:p w:rsidR="007019B9" w:rsidRPr="007019B9" w:rsidRDefault="0089386C" w:rsidP="001F394A">
            <w:pPr>
              <w:widowControl w:val="0"/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cs-CZ"/>
              </w:rPr>
              <w:t>genpo</w:t>
            </w:r>
            <w:r w:rsidR="007019B9" w:rsidRPr="007019B9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cs-CZ"/>
              </w:rPr>
              <w:t>r. Ing. Drahoslav Ryba v. r.</w:t>
            </w:r>
          </w:p>
        </w:tc>
      </w:tr>
    </w:tbl>
    <w:p w:rsidR="007019B9" w:rsidRPr="007019B9" w:rsidRDefault="007019B9" w:rsidP="001F394A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B9" w:rsidRPr="007019B9" w:rsidRDefault="007019B9" w:rsidP="007019B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cs-CZ"/>
        </w:rPr>
      </w:pPr>
      <w:r w:rsidRPr="007019B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cs-CZ"/>
        </w:rPr>
        <w:t>Obdrží:</w:t>
      </w:r>
    </w:p>
    <w:p w:rsidR="007019B9" w:rsidRPr="007019B9" w:rsidRDefault="007019B9" w:rsidP="007019B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HZS krajů</w:t>
      </w:r>
    </w:p>
    <w:p w:rsidR="007019B9" w:rsidRPr="007019B9" w:rsidRDefault="007019B9" w:rsidP="007019B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Záchranný útvar HZS ČR</w:t>
      </w:r>
    </w:p>
    <w:p w:rsidR="007019B9" w:rsidRPr="007019B9" w:rsidRDefault="007019B9" w:rsidP="007019B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SOŠ PO a VOŠ PO</w:t>
      </w:r>
    </w:p>
    <w:p w:rsidR="007019B9" w:rsidRPr="007019B9" w:rsidRDefault="007019B9" w:rsidP="007019B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7019B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MV-generální ředitelství HZS ČR</w:t>
      </w:r>
    </w:p>
    <w:p w:rsidR="007019B9" w:rsidRPr="007019B9" w:rsidRDefault="007019B9" w:rsidP="001F394A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B9" w:rsidRPr="007019B9" w:rsidRDefault="007019B9" w:rsidP="001F394A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B9" w:rsidRPr="007019B9" w:rsidRDefault="007019B9" w:rsidP="001F394A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B9" w:rsidRPr="007019B9" w:rsidRDefault="007019B9" w:rsidP="001F394A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B9" w:rsidRPr="007019B9" w:rsidRDefault="007019B9" w:rsidP="001F394A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B9" w:rsidRDefault="007019B9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866E7E" w:rsidRDefault="00866E7E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866E7E" w:rsidRDefault="00866E7E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866E7E" w:rsidRDefault="00866E7E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866E7E" w:rsidRDefault="00866E7E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1F394A" w:rsidRDefault="001F394A" w:rsidP="001F394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B9" w:rsidRPr="007019B9" w:rsidRDefault="007019B9" w:rsidP="007019B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19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Část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5"/>
      </w:tblGrid>
      <w:tr w:rsidR="007019B9" w:rsidRPr="007019B9" w:rsidTr="00BE2863">
        <w:trPr>
          <w:cantSplit/>
          <w:trHeight w:val="851"/>
        </w:trPr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01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 z n á m e n í</w:t>
            </w:r>
          </w:p>
          <w:p w:rsid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cs-CZ"/>
              </w:rPr>
            </w:pPr>
            <w:r w:rsidRPr="007019B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cs-CZ"/>
              </w:rPr>
              <w:t>náměstka generálního ředitele Hasičského záchranného sboru České republiky</w:t>
            </w:r>
          </w:p>
          <w:p w:rsidR="00BE2863" w:rsidRPr="007019B9" w:rsidRDefault="00BE2863" w:rsidP="00BE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cs-CZ"/>
              </w:rPr>
              <w:t>pro IZS a operační řízení</w:t>
            </w:r>
          </w:p>
        </w:tc>
      </w:tr>
    </w:tbl>
    <w:p w:rsidR="007019B9" w:rsidRPr="007019B9" w:rsidRDefault="007019B9" w:rsidP="007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019B9" w:rsidRPr="007019B9" w:rsidRDefault="001F394A" w:rsidP="007019B9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</w:t>
      </w:r>
      <w:r w:rsidR="007019B9" w:rsidRPr="007019B9">
        <w:rPr>
          <w:rFonts w:ascii="Times New Roman" w:eastAsia="Times New Roman" w:hAnsi="Times New Roman" w:cs="Times New Roman"/>
          <w:sz w:val="24"/>
          <w:szCs w:val="20"/>
          <w:lang w:eastAsia="cs-CZ"/>
        </w:rPr>
        <w:t>MV-generální ředit</w:t>
      </w:r>
      <w:r w:rsidR="00350E6F">
        <w:rPr>
          <w:rFonts w:ascii="Times New Roman" w:eastAsia="Times New Roman" w:hAnsi="Times New Roman" w:cs="Times New Roman"/>
          <w:sz w:val="24"/>
          <w:szCs w:val="20"/>
          <w:lang w:eastAsia="cs-CZ"/>
        </w:rPr>
        <w:t>elství HZS ČR vydalo nový Cvičební</w:t>
      </w:r>
      <w:r w:rsidR="007019B9" w:rsidRPr="007019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řád jednotek požární ochran</w:t>
      </w:r>
      <w:r w:rsidR="00350E6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y, který nabývá účinnosti </w:t>
      </w:r>
      <w:r w:rsidR="00350E6F" w:rsidRPr="007B0E03">
        <w:rPr>
          <w:rFonts w:ascii="Times New Roman" w:eastAsia="Times New Roman" w:hAnsi="Times New Roman" w:cs="Times New Roman"/>
          <w:sz w:val="24"/>
          <w:szCs w:val="20"/>
          <w:lang w:eastAsia="cs-CZ"/>
        </w:rPr>
        <w:t>dnem</w:t>
      </w:r>
      <w:r w:rsidR="00EC6C86" w:rsidRPr="007B0E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</w:t>
      </w:r>
      <w:r w:rsidR="00350E6F" w:rsidRPr="007B0E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EC6C86" w:rsidRPr="007B0E03">
        <w:rPr>
          <w:rFonts w:ascii="Times New Roman" w:eastAsia="Times New Roman" w:hAnsi="Times New Roman" w:cs="Times New Roman"/>
          <w:sz w:val="24"/>
          <w:szCs w:val="20"/>
          <w:lang w:eastAsia="cs-CZ"/>
        </w:rPr>
        <w:t>ledna</w:t>
      </w:r>
      <w:r w:rsidR="00350E6F" w:rsidRPr="007B0E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</w:t>
      </w:r>
      <w:r w:rsidR="00EC6C86" w:rsidRPr="007B0E03">
        <w:rPr>
          <w:rFonts w:ascii="Times New Roman" w:eastAsia="Times New Roman" w:hAnsi="Times New Roman" w:cs="Times New Roman"/>
          <w:sz w:val="24"/>
          <w:szCs w:val="20"/>
          <w:lang w:eastAsia="cs-CZ"/>
        </w:rPr>
        <w:t>20</w:t>
      </w:r>
      <w:r w:rsidR="00350E6F" w:rsidRPr="007B0E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350E6F">
        <w:rPr>
          <w:rFonts w:ascii="Times New Roman" w:eastAsia="Times New Roman" w:hAnsi="Times New Roman" w:cs="Times New Roman"/>
          <w:sz w:val="24"/>
          <w:szCs w:val="20"/>
          <w:lang w:eastAsia="cs-CZ"/>
        </w:rPr>
        <w:t>Nový Cvičební</w:t>
      </w:r>
      <w:r w:rsidR="007019B9" w:rsidRPr="007019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řád jednotek požární ochrany je dostupný na internetových stránkách  Hasičského záchranného sboru České republiky v sekci Jednotky PO </w:t>
      </w:r>
      <w:r w:rsidR="007019B9" w:rsidRPr="007019B9">
        <w:rPr>
          <w:rFonts w:ascii="Times New Roman" w:eastAsia="Times New Roman" w:hAnsi="Times New Roman" w:cs="Times New Roman"/>
          <w:sz w:val="24"/>
          <w:szCs w:val="20"/>
          <w:lang w:eastAsia="cs-CZ"/>
        </w:rPr>
        <w:sym w:font="Symbol" w:char="F0AE"/>
      </w:r>
      <w:r w:rsidR="007019B9" w:rsidRPr="007019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Výkon služby </w:t>
      </w:r>
      <w:r w:rsidR="007019B9" w:rsidRPr="007019B9">
        <w:rPr>
          <w:rFonts w:ascii="Times New Roman" w:eastAsia="Times New Roman" w:hAnsi="Times New Roman" w:cs="Times New Roman"/>
          <w:sz w:val="24"/>
          <w:szCs w:val="20"/>
          <w:lang w:eastAsia="cs-CZ"/>
        </w:rPr>
        <w:sym w:font="Symbol" w:char="F0AE"/>
      </w:r>
      <w:r w:rsidR="007019B9" w:rsidRPr="007019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Dokumenty ke stažení – bojový a cvičební řád.</w:t>
      </w:r>
    </w:p>
    <w:p w:rsidR="007019B9" w:rsidRPr="007019B9" w:rsidRDefault="007019B9" w:rsidP="00267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019B9" w:rsidRPr="007019B9" w:rsidRDefault="007019B9" w:rsidP="00267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pPr w:leftFromText="141" w:rightFromText="141" w:vertAnchor="text" w:horzAnchor="margin" w:tblpXSpec="right" w:tblpY="-6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7019B9" w:rsidRPr="007019B9" w:rsidTr="00804F61">
        <w:tc>
          <w:tcPr>
            <w:tcW w:w="4039" w:type="dxa"/>
            <w:vAlign w:val="center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9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brig. gen. Ing. František Zadina v. r. náměstek generálního ředitele HZS ČR pro IZS a operační řízení</w:t>
            </w:r>
          </w:p>
        </w:tc>
      </w:tr>
    </w:tbl>
    <w:p w:rsidR="007019B9" w:rsidRPr="007019B9" w:rsidRDefault="007019B9" w:rsidP="00701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pPr w:leftFromText="141" w:rightFromText="141" w:vertAnchor="text" w:horzAnchor="margin" w:tblpXSpec="right" w:tblpY="-6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7019B9" w:rsidRPr="007019B9" w:rsidTr="00804F61">
        <w:tc>
          <w:tcPr>
            <w:tcW w:w="4039" w:type="dxa"/>
            <w:vAlign w:val="center"/>
          </w:tcPr>
          <w:p w:rsidR="007019B9" w:rsidRPr="007019B9" w:rsidRDefault="007019B9" w:rsidP="007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019B9" w:rsidRPr="007019B9" w:rsidRDefault="007019B9" w:rsidP="007019B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B0730" w:rsidRDefault="00EB0730" w:rsidP="00267802">
      <w:pPr>
        <w:spacing w:after="0" w:line="240" w:lineRule="auto"/>
        <w:jc w:val="both"/>
      </w:pPr>
    </w:p>
    <w:p w:rsidR="00267802" w:rsidRDefault="00267802" w:rsidP="00267802">
      <w:pPr>
        <w:spacing w:after="0" w:line="240" w:lineRule="auto"/>
        <w:jc w:val="both"/>
      </w:pPr>
    </w:p>
    <w:p w:rsidR="00267802" w:rsidRDefault="00267802" w:rsidP="00267802">
      <w:pPr>
        <w:spacing w:after="0" w:line="240" w:lineRule="auto"/>
        <w:jc w:val="both"/>
      </w:pPr>
    </w:p>
    <w:p w:rsidR="00267802" w:rsidRDefault="00267802" w:rsidP="00267802">
      <w:pPr>
        <w:spacing w:after="0" w:line="240" w:lineRule="auto"/>
        <w:jc w:val="both"/>
      </w:pPr>
    </w:p>
    <w:p w:rsidR="00267802" w:rsidRPr="00267802" w:rsidRDefault="00267802" w:rsidP="00267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802">
        <w:rPr>
          <w:rFonts w:ascii="Times New Roman" w:hAnsi="Times New Roman" w:cs="Times New Roman"/>
          <w:b/>
          <w:bCs/>
          <w:sz w:val="24"/>
          <w:szCs w:val="24"/>
        </w:rPr>
        <w:t>O z n á m e n í</w:t>
      </w:r>
    </w:p>
    <w:p w:rsidR="00267802" w:rsidRPr="00267802" w:rsidRDefault="00267802" w:rsidP="00267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802">
        <w:rPr>
          <w:rFonts w:ascii="Times New Roman" w:hAnsi="Times New Roman" w:cs="Times New Roman"/>
          <w:b/>
          <w:bCs/>
          <w:sz w:val="24"/>
          <w:szCs w:val="24"/>
        </w:rPr>
        <w:t xml:space="preserve">náměstka generálního ředitele hasičského záchranného sboru České republiky </w:t>
      </w:r>
    </w:p>
    <w:p w:rsidR="00267802" w:rsidRPr="00267802" w:rsidRDefault="00267802" w:rsidP="00267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802">
        <w:rPr>
          <w:rFonts w:ascii="Times New Roman" w:hAnsi="Times New Roman" w:cs="Times New Roman"/>
          <w:b/>
          <w:bCs/>
          <w:sz w:val="24"/>
          <w:szCs w:val="24"/>
        </w:rPr>
        <w:t>pro IZS a operační řízení</w:t>
      </w:r>
    </w:p>
    <w:p w:rsidR="00267802" w:rsidRPr="00267802" w:rsidRDefault="00267802" w:rsidP="002678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802" w:rsidRPr="00267802" w:rsidRDefault="00267802" w:rsidP="002678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802">
        <w:rPr>
          <w:rFonts w:ascii="Times New Roman" w:hAnsi="Times New Roman" w:cs="Times New Roman"/>
          <w:sz w:val="24"/>
          <w:szCs w:val="24"/>
        </w:rPr>
        <w:t xml:space="preserve">      Na základě Pokynu generálního ředitele HZS ČR č. 57/2013, </w:t>
      </w:r>
      <w:r w:rsidRPr="00267802">
        <w:rPr>
          <w:rFonts w:ascii="Times New Roman" w:hAnsi="Times New Roman" w:cs="Times New Roman"/>
          <w:bCs/>
          <w:sz w:val="24"/>
          <w:szCs w:val="24"/>
        </w:rPr>
        <w:t>kterým se stanoví základní zaměření pravidelné odborné přípravy jednotek požární ochrany a příslušníků Hasičského záchranného sboru ČR</w:t>
      </w:r>
      <w:r w:rsidRPr="00267802">
        <w:rPr>
          <w:rFonts w:ascii="Times New Roman" w:hAnsi="Times New Roman" w:cs="Times New Roman"/>
          <w:sz w:val="24"/>
          <w:szCs w:val="24"/>
        </w:rPr>
        <w:t>, byla vyhlášena základní témata, která mají být v roce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67802">
        <w:rPr>
          <w:rFonts w:ascii="Times New Roman" w:hAnsi="Times New Roman" w:cs="Times New Roman"/>
          <w:sz w:val="24"/>
          <w:szCs w:val="24"/>
        </w:rPr>
        <w:t xml:space="preserve"> proškolena v rámci pravidelné odborné přípravy příslušníků jednotek HZS krajů, Hasičského útvaru ochrany Pražského hradu, příslušníků Záchranného útvaru HZS ČR, zaměstnanců jednotek HZS podniků, členů jednotek SDH obcí a členů jednotek SDH podniků. </w:t>
      </w:r>
    </w:p>
    <w:p w:rsidR="00267802" w:rsidRPr="00267802" w:rsidRDefault="00BE2863" w:rsidP="00BE28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7802" w:rsidRPr="00267802">
        <w:rPr>
          <w:rFonts w:ascii="Times New Roman" w:hAnsi="Times New Roman" w:cs="Times New Roman"/>
          <w:sz w:val="24"/>
          <w:szCs w:val="24"/>
        </w:rPr>
        <w:t>Vyhlášená základní témata jsou dostupná na internetových stránkách Hasičského záchranného sboru České republiky v sekci Jednotky PO → Odborná příprava →Základní zaměření odborné přípravy.</w:t>
      </w:r>
    </w:p>
    <w:p w:rsidR="00267802" w:rsidRPr="00267802" w:rsidRDefault="00267802" w:rsidP="0026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802" w:rsidRPr="00267802" w:rsidRDefault="00267802" w:rsidP="0026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802">
        <w:rPr>
          <w:rFonts w:ascii="Times New Roman" w:hAnsi="Times New Roman" w:cs="Times New Roman"/>
          <w:sz w:val="24"/>
          <w:szCs w:val="24"/>
        </w:rPr>
        <w:t>Čj. MV-</w:t>
      </w:r>
      <w:r>
        <w:rPr>
          <w:rFonts w:ascii="Times New Roman" w:hAnsi="Times New Roman" w:cs="Times New Roman"/>
          <w:sz w:val="24"/>
          <w:szCs w:val="24"/>
        </w:rPr>
        <w:t>93235</w:t>
      </w:r>
      <w:r w:rsidRPr="002678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7802">
        <w:rPr>
          <w:rFonts w:ascii="Times New Roman" w:hAnsi="Times New Roman" w:cs="Times New Roman"/>
          <w:sz w:val="24"/>
          <w:szCs w:val="24"/>
        </w:rPr>
        <w:t>/PO-IZS-201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67802" w:rsidRPr="00267802" w:rsidRDefault="00267802" w:rsidP="0026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</w:tblGrid>
      <w:tr w:rsidR="00267802" w:rsidRPr="00267802" w:rsidTr="00267802"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802" w:rsidRPr="00267802" w:rsidRDefault="00267802" w:rsidP="0026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02">
              <w:rPr>
                <w:rFonts w:ascii="Times New Roman" w:hAnsi="Times New Roman" w:cs="Times New Roman"/>
                <w:sz w:val="24"/>
                <w:szCs w:val="24"/>
              </w:rPr>
              <w:t>brig. gen. Ing. František Zadina v. r.</w:t>
            </w:r>
          </w:p>
          <w:p w:rsidR="00267802" w:rsidRPr="00267802" w:rsidRDefault="00267802" w:rsidP="00267802">
            <w:pPr>
              <w:pStyle w:val="Text"/>
              <w:jc w:val="center"/>
              <w:rPr>
                <w:rFonts w:cs="Times New Roman"/>
              </w:rPr>
            </w:pPr>
            <w:r w:rsidRPr="00267802">
              <w:rPr>
                <w:rFonts w:cs="Times New Roman"/>
              </w:rPr>
              <w:t>náměstek generálního ředitele HZS ČR</w:t>
            </w:r>
          </w:p>
          <w:p w:rsidR="00267802" w:rsidRPr="00267802" w:rsidRDefault="00267802" w:rsidP="0026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02">
              <w:rPr>
                <w:rFonts w:ascii="Times New Roman" w:hAnsi="Times New Roman" w:cs="Times New Roman"/>
                <w:sz w:val="24"/>
                <w:szCs w:val="24"/>
              </w:rPr>
              <w:t>pro IZS a operační řízení</w:t>
            </w:r>
          </w:p>
        </w:tc>
      </w:tr>
    </w:tbl>
    <w:p w:rsidR="00267802" w:rsidRDefault="00267802"/>
    <w:sectPr w:rsidR="00267802">
      <w:headerReference w:type="even" r:id="rId10"/>
      <w:headerReference w:type="default" r:id="rId11"/>
      <w:pgSz w:w="11905" w:h="16837" w:code="9"/>
      <w:pgMar w:top="851" w:right="1440" w:bottom="1134" w:left="144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8A" w:rsidRDefault="00F9608A">
      <w:pPr>
        <w:spacing w:after="0" w:line="240" w:lineRule="auto"/>
      </w:pPr>
      <w:r>
        <w:separator/>
      </w:r>
    </w:p>
  </w:endnote>
  <w:endnote w:type="continuationSeparator" w:id="0">
    <w:p w:rsidR="00F9608A" w:rsidRDefault="00F9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4" w:rsidRDefault="007019B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F20624" w:rsidRDefault="00F9608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4" w:rsidRDefault="00F9608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8A" w:rsidRDefault="00F9608A">
      <w:pPr>
        <w:spacing w:after="0" w:line="240" w:lineRule="auto"/>
      </w:pPr>
      <w:r>
        <w:separator/>
      </w:r>
    </w:p>
  </w:footnote>
  <w:footnote w:type="continuationSeparator" w:id="0">
    <w:p w:rsidR="00F9608A" w:rsidRDefault="00F9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4" w:rsidRDefault="007019B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0624" w:rsidRDefault="00F9608A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4" w:rsidRPr="001860B9" w:rsidRDefault="007019B9" w:rsidP="00C2159E">
    <w:pPr>
      <w:pStyle w:val="Zhlav"/>
      <w:framePr w:wrap="around" w:vAnchor="text" w:hAnchor="page" w:x="10126" w:y="-17"/>
      <w:rPr>
        <w:rStyle w:val="slostrnky"/>
        <w:szCs w:val="24"/>
      </w:rPr>
    </w:pPr>
    <w:r w:rsidRPr="001860B9">
      <w:rPr>
        <w:rStyle w:val="slostrnky"/>
        <w:szCs w:val="24"/>
      </w:rPr>
      <w:fldChar w:fldCharType="begin"/>
    </w:r>
    <w:r w:rsidRPr="001860B9">
      <w:rPr>
        <w:rStyle w:val="slostrnky"/>
        <w:szCs w:val="24"/>
      </w:rPr>
      <w:instrText xml:space="preserve">PAGE  </w:instrText>
    </w:r>
    <w:r w:rsidRPr="001860B9">
      <w:rPr>
        <w:rStyle w:val="slostrnky"/>
        <w:szCs w:val="24"/>
      </w:rPr>
      <w:fldChar w:fldCharType="separate"/>
    </w:r>
    <w:r w:rsidR="0028009D">
      <w:rPr>
        <w:rStyle w:val="slostrnky"/>
        <w:noProof/>
        <w:szCs w:val="24"/>
      </w:rPr>
      <w:t>3</w:t>
    </w:r>
    <w:r w:rsidRPr="001860B9">
      <w:rPr>
        <w:rStyle w:val="slostrnky"/>
        <w:szCs w:val="24"/>
      </w:rPr>
      <w:fldChar w:fldCharType="end"/>
    </w:r>
  </w:p>
  <w:p w:rsidR="00F20624" w:rsidRDefault="007019B9">
    <w:pPr>
      <w:pStyle w:val="Zhlav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Sbírka interních aktů řízení generálního </w:t>
    </w:r>
    <w:r w:rsidR="00196421">
      <w:rPr>
        <w:rFonts w:ascii="Arial" w:hAnsi="Arial"/>
        <w:sz w:val="18"/>
      </w:rPr>
      <w:t xml:space="preserve">ředitele HZS ČR - </w:t>
    </w:r>
    <w:r w:rsidR="00196421" w:rsidRPr="007B0E03">
      <w:rPr>
        <w:rFonts w:ascii="Arial" w:hAnsi="Arial"/>
        <w:sz w:val="18"/>
      </w:rPr>
      <w:t xml:space="preserve">částka </w:t>
    </w:r>
    <w:r w:rsidR="00EA7BE5" w:rsidRPr="007B0E03">
      <w:rPr>
        <w:rFonts w:ascii="Arial" w:hAnsi="Arial"/>
        <w:sz w:val="18"/>
      </w:rPr>
      <w:t>60</w:t>
    </w:r>
    <w:r w:rsidR="00196421" w:rsidRPr="007B0E03">
      <w:rPr>
        <w:rFonts w:ascii="Arial" w:hAnsi="Arial"/>
        <w:sz w:val="18"/>
      </w:rPr>
      <w:t>/2019</w:t>
    </w:r>
    <w:r w:rsidRPr="007B0E03">
      <w:rPr>
        <w:rFonts w:ascii="Arial" w:hAnsi="Arial"/>
        <w:sz w:val="18"/>
      </w:rPr>
      <w:t xml:space="preserve">         </w:t>
    </w:r>
    <w:r w:rsidR="00C2159E" w:rsidRPr="007B0E03">
      <w:rPr>
        <w:rFonts w:ascii="Arial" w:hAnsi="Arial"/>
        <w:sz w:val="18"/>
      </w:rPr>
      <w:t xml:space="preserve">                              </w:t>
    </w:r>
    <w:r>
      <w:rPr>
        <w:rFonts w:ascii="Arial" w:hAnsi="Arial"/>
        <w:sz w:val="18"/>
      </w:rPr>
      <w:t>Strana</w: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513"/>
      <w:gridCol w:w="4512"/>
    </w:tblGrid>
    <w:tr w:rsidR="00C2159E" w:rsidTr="00C2159E">
      <w:tc>
        <w:tcPr>
          <w:tcW w:w="4513" w:type="dxa"/>
          <w:tcBorders>
            <w:top w:val="nil"/>
            <w:left w:val="nil"/>
            <w:right w:val="nil"/>
          </w:tcBorders>
        </w:tcPr>
        <w:p w:rsidR="00C2159E" w:rsidRDefault="00C2159E">
          <w:pPr>
            <w:pStyle w:val="Zhlav"/>
            <w:ind w:right="360"/>
            <w:rPr>
              <w:rFonts w:ascii="Arial" w:hAnsi="Arial"/>
              <w:sz w:val="18"/>
            </w:rPr>
          </w:pPr>
        </w:p>
      </w:tc>
      <w:tc>
        <w:tcPr>
          <w:tcW w:w="4512" w:type="dxa"/>
          <w:tcBorders>
            <w:top w:val="nil"/>
            <w:left w:val="nil"/>
            <w:right w:val="nil"/>
          </w:tcBorders>
        </w:tcPr>
        <w:p w:rsidR="00C2159E" w:rsidRDefault="00C2159E">
          <w:pPr>
            <w:pStyle w:val="Zhlav"/>
            <w:ind w:right="360"/>
            <w:rPr>
              <w:rFonts w:ascii="Arial" w:hAnsi="Arial"/>
              <w:sz w:val="18"/>
            </w:rPr>
          </w:pPr>
        </w:p>
      </w:tc>
    </w:tr>
  </w:tbl>
  <w:p w:rsidR="00F20624" w:rsidRDefault="00F9608A">
    <w:pPr>
      <w:pStyle w:val="Zhlav"/>
      <w:ind w:right="360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A5"/>
    <w:multiLevelType w:val="hybridMultilevel"/>
    <w:tmpl w:val="6804B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04A2F"/>
    <w:multiLevelType w:val="hybridMultilevel"/>
    <w:tmpl w:val="3CC49D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3386E"/>
    <w:multiLevelType w:val="hybridMultilevel"/>
    <w:tmpl w:val="2BA6CE8A"/>
    <w:lvl w:ilvl="0" w:tplc="F20C5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90"/>
    <w:rsid w:val="00000A05"/>
    <w:rsid w:val="00034532"/>
    <w:rsid w:val="0005202D"/>
    <w:rsid w:val="00115C3A"/>
    <w:rsid w:val="0012693C"/>
    <w:rsid w:val="00131DFE"/>
    <w:rsid w:val="00185884"/>
    <w:rsid w:val="00196421"/>
    <w:rsid w:val="001F394A"/>
    <w:rsid w:val="00201A28"/>
    <w:rsid w:val="002124C5"/>
    <w:rsid w:val="00267802"/>
    <w:rsid w:val="0028009D"/>
    <w:rsid w:val="00350E6F"/>
    <w:rsid w:val="003D39DA"/>
    <w:rsid w:val="00440AC4"/>
    <w:rsid w:val="0044399A"/>
    <w:rsid w:val="007019B9"/>
    <w:rsid w:val="00737815"/>
    <w:rsid w:val="007B0E03"/>
    <w:rsid w:val="00866E7E"/>
    <w:rsid w:val="008839F3"/>
    <w:rsid w:val="0089386C"/>
    <w:rsid w:val="0089524E"/>
    <w:rsid w:val="008E51EB"/>
    <w:rsid w:val="009546F7"/>
    <w:rsid w:val="009D1AED"/>
    <w:rsid w:val="009D52FA"/>
    <w:rsid w:val="00A214EB"/>
    <w:rsid w:val="00A734DF"/>
    <w:rsid w:val="00AA37F2"/>
    <w:rsid w:val="00B200EE"/>
    <w:rsid w:val="00B77390"/>
    <w:rsid w:val="00BE2863"/>
    <w:rsid w:val="00C2159E"/>
    <w:rsid w:val="00C32344"/>
    <w:rsid w:val="00D85444"/>
    <w:rsid w:val="00DE0572"/>
    <w:rsid w:val="00DF04F3"/>
    <w:rsid w:val="00E33539"/>
    <w:rsid w:val="00EA7BE5"/>
    <w:rsid w:val="00EB0730"/>
    <w:rsid w:val="00EC6C86"/>
    <w:rsid w:val="00EE5AE5"/>
    <w:rsid w:val="00F03027"/>
    <w:rsid w:val="00F10D1B"/>
    <w:rsid w:val="00F53AE5"/>
    <w:rsid w:val="00F86C7A"/>
    <w:rsid w:val="00F9608A"/>
    <w:rsid w:val="00FC3A83"/>
    <w:rsid w:val="00F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E0E75-78B3-47FE-A903-64D17FB2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019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019B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7019B9"/>
  </w:style>
  <w:style w:type="paragraph" w:styleId="Zpat">
    <w:name w:val="footer"/>
    <w:basedOn w:val="Normln"/>
    <w:link w:val="ZpatChar"/>
    <w:uiPriority w:val="99"/>
    <w:rsid w:val="007019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019B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C2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A83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ln"/>
    <w:rsid w:val="0026780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6341-7B6A-4517-A46F-56567C67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GŘ HZS ČR č. 60/2019</vt:lpstr>
    </vt:vector>
  </TitlesOfParts>
  <Company>MV-GŘ HZS ČR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GŘ HZS ČR č. 60/2019</dc:title>
  <dc:subject>Cvičební řád jednotek PO</dc:subject>
  <dc:creator>Ondřej Werich</dc:creator>
  <cp:keywords/>
  <dc:description/>
  <cp:lastModifiedBy>Lubomír Pešek</cp:lastModifiedBy>
  <cp:revision>19</cp:revision>
  <cp:lastPrinted>2019-12-06T12:21:00Z</cp:lastPrinted>
  <dcterms:created xsi:type="dcterms:W3CDTF">2019-12-05T12:28:00Z</dcterms:created>
  <dcterms:modified xsi:type="dcterms:W3CDTF">2019-12-13T11:46:00Z</dcterms:modified>
</cp:coreProperties>
</file>